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方正仿宋简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方正仿宋简体"/>
          <w:sz w:val="32"/>
          <w:szCs w:val="32"/>
        </w:rPr>
        <w:t>附件</w:t>
      </w:r>
      <w:r>
        <w:rPr>
          <w:rFonts w:hint="eastAsia" w:ascii="宋体" w:hAnsi="宋体" w:cs="方正仿宋简体"/>
          <w:sz w:val="32"/>
          <w:szCs w:val="32"/>
          <w:lang w:val="en-US" w:eastAsia="zh-CN"/>
        </w:rPr>
        <w:t>5</w:t>
      </w:r>
      <w:r>
        <w:rPr>
          <w:rFonts w:hint="eastAsia" w:ascii="宋体" w:hAnsi="宋体" w:cs="方正仿宋简体"/>
          <w:sz w:val="32"/>
          <w:szCs w:val="32"/>
        </w:rPr>
        <w:t>：</w:t>
      </w:r>
    </w:p>
    <w:p>
      <w:pPr>
        <w:jc w:val="center"/>
        <w:rPr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</w:rPr>
        <w:t>202</w:t>
      </w:r>
      <w:r>
        <w:rPr>
          <w:rFonts w:hint="eastAsia" w:ascii="宋体" w:hAnsi="宋体" w:cs="方正小标宋简体"/>
          <w:sz w:val="36"/>
          <w:szCs w:val="36"/>
          <w:lang w:val="en-US" w:eastAsia="zh-CN"/>
        </w:rPr>
        <w:t>4</w:t>
      </w:r>
      <w:r>
        <w:rPr>
          <w:rFonts w:hint="eastAsia" w:ascii="宋体" w:hAnsi="宋体" w:cs="方正小标宋简体"/>
          <w:sz w:val="36"/>
          <w:szCs w:val="36"/>
        </w:rPr>
        <w:t>年</w:t>
      </w:r>
      <w:r>
        <w:rPr>
          <w:rFonts w:hint="eastAsia"/>
          <w:sz w:val="36"/>
          <w:szCs w:val="36"/>
        </w:rPr>
        <w:t>镇江市</w:t>
      </w:r>
      <w:r>
        <w:rPr>
          <w:rFonts w:hint="eastAsia"/>
          <w:sz w:val="36"/>
          <w:szCs w:val="36"/>
          <w:lang w:eastAsia="zh-CN"/>
        </w:rPr>
        <w:t>建设用碎石坚固性</w:t>
      </w:r>
      <w:r>
        <w:rPr>
          <w:rFonts w:hint="eastAsia"/>
          <w:sz w:val="36"/>
          <w:szCs w:val="36"/>
        </w:rPr>
        <w:t>实验室间比对试验原始记录</w:t>
      </w:r>
    </w:p>
    <w:p>
      <w:pPr>
        <w:ind w:right="105" w:rightChars="50"/>
        <w:jc w:val="right"/>
        <w:rPr>
          <w:sz w:val="15"/>
          <w:szCs w:val="15"/>
        </w:rPr>
      </w:pPr>
    </w:p>
    <w:tbl>
      <w:tblPr>
        <w:tblStyle w:val="8"/>
        <w:tblW w:w="101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11"/>
        <w:gridCol w:w="171"/>
        <w:gridCol w:w="219"/>
        <w:gridCol w:w="1183"/>
        <w:gridCol w:w="107"/>
        <w:gridCol w:w="641"/>
        <w:gridCol w:w="223"/>
        <w:gridCol w:w="411"/>
        <w:gridCol w:w="85"/>
        <w:gridCol w:w="303"/>
        <w:gridCol w:w="31"/>
        <w:gridCol w:w="379"/>
        <w:gridCol w:w="537"/>
        <w:gridCol w:w="177"/>
        <w:gridCol w:w="268"/>
        <w:gridCol w:w="411"/>
        <w:gridCol w:w="29"/>
        <w:gridCol w:w="360"/>
        <w:gridCol w:w="69"/>
        <w:gridCol w:w="305"/>
        <w:gridCol w:w="702"/>
        <w:gridCol w:w="244"/>
        <w:gridCol w:w="121"/>
        <w:gridCol w:w="785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53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样品编号</w:t>
            </w:r>
          </w:p>
        </w:tc>
        <w:tc>
          <w:tcPr>
            <w:tcW w:w="3172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样品状态</w:t>
            </w:r>
          </w:p>
        </w:tc>
        <w:tc>
          <w:tcPr>
            <w:tcW w:w="4045" w:type="dxa"/>
            <w:gridSpan w:val="10"/>
            <w:vAlign w:val="center"/>
          </w:tcPr>
          <w:p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□可检  □不可检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3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检测方法</w:t>
            </w:r>
          </w:p>
        </w:tc>
        <w:tc>
          <w:tcPr>
            <w:tcW w:w="8609" w:type="dxa"/>
            <w:gridSpan w:val="2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GB/T 1468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sz w:val="24"/>
                <w:szCs w:val="24"/>
              </w:rPr>
              <w:t>-2022《</w:t>
            </w:r>
            <w:r>
              <w:rPr>
                <w:rFonts w:hint="eastAsia"/>
                <w:sz w:val="24"/>
                <w:szCs w:val="24"/>
              </w:rPr>
              <w:t>建设用卵石、碎石</w:t>
            </w:r>
            <w:r>
              <w:rPr>
                <w:sz w:val="24"/>
                <w:szCs w:val="24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30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检测日期</w:t>
            </w:r>
          </w:p>
        </w:tc>
        <w:tc>
          <w:tcPr>
            <w:tcW w:w="3582" w:type="dxa"/>
            <w:gridSpan w:val="1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试验环境</w:t>
            </w:r>
          </w:p>
        </w:tc>
        <w:tc>
          <w:tcPr>
            <w:tcW w:w="3176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温度：              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恒重</w:t>
            </w:r>
          </w:p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恒重样品</w:t>
            </w:r>
          </w:p>
        </w:tc>
        <w:tc>
          <w:tcPr>
            <w:tcW w:w="1680" w:type="dxa"/>
            <w:gridSpan w:val="4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烘干</w:t>
            </w:r>
          </w:p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时间</w:t>
            </w:r>
          </w:p>
        </w:tc>
        <w:tc>
          <w:tcPr>
            <w:tcW w:w="864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第一次称重（g）</w:t>
            </w:r>
          </w:p>
        </w:tc>
        <w:tc>
          <w:tcPr>
            <w:tcW w:w="1746" w:type="dxa"/>
            <w:gridSpan w:val="6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烘干</w:t>
            </w:r>
          </w:p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时间</w:t>
            </w:r>
          </w:p>
        </w:tc>
        <w:tc>
          <w:tcPr>
            <w:tcW w:w="856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第二次称重（g）</w:t>
            </w:r>
          </w:p>
        </w:tc>
        <w:tc>
          <w:tcPr>
            <w:tcW w:w="1709" w:type="dxa"/>
            <w:gridSpan w:val="6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烘干</w:t>
            </w:r>
          </w:p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时间</w:t>
            </w:r>
          </w:p>
        </w:tc>
        <w:tc>
          <w:tcPr>
            <w:tcW w:w="906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第三次称重（g）</w:t>
            </w: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称量精度（g）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 w:val="0"/>
                <w:sz w:val="24"/>
                <w:szCs w:val="24"/>
              </w:rPr>
              <w:t>试验前</w:t>
            </w:r>
          </w:p>
        </w:tc>
        <w:tc>
          <w:tcPr>
            <w:tcW w:w="390" w:type="dxa"/>
            <w:gridSpan w:val="2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开</w:t>
            </w:r>
          </w:p>
          <w:p>
            <w:pPr>
              <w:jc w:val="both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始</w:t>
            </w:r>
          </w:p>
        </w:tc>
        <w:tc>
          <w:tcPr>
            <w:tcW w:w="1290" w:type="dxa"/>
            <w:gridSpan w:val="2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default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864" w:type="dxa"/>
            <w:gridSpan w:val="2"/>
            <w:vMerge w:val="restart"/>
            <w:vAlign w:val="top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411" w:type="dxa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开</w:t>
            </w:r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始</w:t>
            </w:r>
          </w:p>
        </w:tc>
        <w:tc>
          <w:tcPr>
            <w:tcW w:w="1335" w:type="dxa"/>
            <w:gridSpan w:val="5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856" w:type="dxa"/>
            <w:gridSpan w:val="3"/>
            <w:vMerge w:val="restart"/>
            <w:vAlign w:val="top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89" w:type="dxa"/>
            <w:gridSpan w:val="2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开</w:t>
            </w:r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始</w:t>
            </w:r>
          </w:p>
        </w:tc>
        <w:tc>
          <w:tcPr>
            <w:tcW w:w="1320" w:type="dxa"/>
            <w:gridSpan w:val="4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906" w:type="dxa"/>
            <w:gridSpan w:val="2"/>
            <w:vMerge w:val="restart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19" w:type="dxa"/>
            <w:vMerge w:val="restart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11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结束</w:t>
            </w:r>
          </w:p>
        </w:tc>
        <w:tc>
          <w:tcPr>
            <w:tcW w:w="1290" w:type="dxa"/>
            <w:gridSpan w:val="2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864" w:type="dxa"/>
            <w:gridSpan w:val="2"/>
            <w:vMerge w:val="continue"/>
            <w:vAlign w:val="top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411" w:type="dxa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结束</w:t>
            </w:r>
          </w:p>
        </w:tc>
        <w:tc>
          <w:tcPr>
            <w:tcW w:w="1335" w:type="dxa"/>
            <w:gridSpan w:val="5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856" w:type="dxa"/>
            <w:gridSpan w:val="3"/>
            <w:vMerge w:val="continue"/>
            <w:vAlign w:val="top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89" w:type="dxa"/>
            <w:gridSpan w:val="2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结束</w:t>
            </w:r>
          </w:p>
        </w:tc>
        <w:tc>
          <w:tcPr>
            <w:tcW w:w="1320" w:type="dxa"/>
            <w:gridSpan w:val="4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906" w:type="dxa"/>
            <w:gridSpan w:val="2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19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 w:val="0"/>
                <w:sz w:val="24"/>
                <w:szCs w:val="24"/>
              </w:rPr>
              <w:t>试验后</w:t>
            </w:r>
          </w:p>
        </w:tc>
        <w:tc>
          <w:tcPr>
            <w:tcW w:w="390" w:type="dxa"/>
            <w:gridSpan w:val="2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开</w:t>
            </w:r>
          </w:p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始</w:t>
            </w:r>
          </w:p>
        </w:tc>
        <w:tc>
          <w:tcPr>
            <w:tcW w:w="1290" w:type="dxa"/>
            <w:gridSpan w:val="2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864" w:type="dxa"/>
            <w:gridSpan w:val="2"/>
            <w:vMerge w:val="restart"/>
            <w:vAlign w:val="top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411" w:type="dxa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开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始</w:t>
            </w:r>
          </w:p>
        </w:tc>
        <w:tc>
          <w:tcPr>
            <w:tcW w:w="1335" w:type="dxa"/>
            <w:gridSpan w:val="5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856" w:type="dxa"/>
            <w:gridSpan w:val="3"/>
            <w:vMerge w:val="restart"/>
            <w:vAlign w:val="top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89" w:type="dxa"/>
            <w:gridSpan w:val="2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开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始</w:t>
            </w:r>
          </w:p>
        </w:tc>
        <w:tc>
          <w:tcPr>
            <w:tcW w:w="1320" w:type="dxa"/>
            <w:gridSpan w:val="4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906" w:type="dxa"/>
            <w:gridSpan w:val="2"/>
            <w:vMerge w:val="restart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19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11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结束</w:t>
            </w:r>
          </w:p>
        </w:tc>
        <w:tc>
          <w:tcPr>
            <w:tcW w:w="1290" w:type="dxa"/>
            <w:gridSpan w:val="2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864" w:type="dxa"/>
            <w:gridSpan w:val="2"/>
            <w:vMerge w:val="continue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11" w:type="dxa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结束</w:t>
            </w:r>
          </w:p>
        </w:tc>
        <w:tc>
          <w:tcPr>
            <w:tcW w:w="1335" w:type="dxa"/>
            <w:gridSpan w:val="5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856" w:type="dxa"/>
            <w:gridSpan w:val="3"/>
            <w:vMerge w:val="continue"/>
            <w:vAlign w:val="top"/>
          </w:tcPr>
          <w:p>
            <w:pPr>
              <w:jc w:val="both"/>
              <w:rPr>
                <w:rFonts w:hint="eastAsia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89" w:type="dxa"/>
            <w:gridSpan w:val="2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结束</w:t>
            </w:r>
          </w:p>
        </w:tc>
        <w:tc>
          <w:tcPr>
            <w:tcW w:w="1320" w:type="dxa"/>
            <w:gridSpan w:val="4"/>
            <w:vAlign w:val="top"/>
          </w:tcPr>
          <w:p>
            <w:pPr>
              <w:tabs>
                <w:tab w:val="left" w:pos="1050"/>
              </w:tabs>
              <w:jc w:val="both"/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日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90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19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35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浸泡烘干过程</w:t>
            </w:r>
          </w:p>
        </w:tc>
        <w:tc>
          <w:tcPr>
            <w:tcW w:w="1573" w:type="dxa"/>
            <w:gridSpan w:val="3"/>
            <w:vAlign w:val="center"/>
            <mc:AlternateContent>
              <mc:Choice Requires="wpsCustomData">
                <wpsCustomData:diagonals>
                  <wpsCustomData:diagonal from="30000" to="1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w:rPr>
                <w:rFonts w:hint="eastAsia" w:eastAsiaTheme="minorEastAsia"/>
                <w:b w:val="0"/>
                <w:bCs/>
                <w:sz w:val="18"/>
                <w:szCs w:val="18"/>
                <w:lang w:eastAsia="zh-CN"/>
              </w:rPr>
            </w:pPr>
          </w:p>
          <w:p>
            <w:pPr>
              <w:snapToGrid w:val="0"/>
              <w:spacing w:line="240" w:lineRule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eastAsiaTheme="minorEastAsia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Theme="minorEastAsia"/>
                <w:b w:val="0"/>
                <w:bCs/>
                <w:sz w:val="18"/>
                <w:szCs w:val="18"/>
                <w:lang w:eastAsia="zh-CN"/>
              </w:rPr>
              <w:t>次数</w:t>
            </w:r>
          </w:p>
          <w:p>
            <w:pPr>
              <w:ind w:firstLine="180" w:firstLineChars="100"/>
              <w:rPr>
                <w:rFonts w:hint="eastAsia" w:eastAsiaTheme="minorEastAsia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Theme="minorEastAsia"/>
                <w:b w:val="0"/>
                <w:bCs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1801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浸泡开始时间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浸泡结束时间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烘干开始时间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烘干结束时间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59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第1次循环</w:t>
            </w:r>
          </w:p>
        </w:tc>
        <w:tc>
          <w:tcPr>
            <w:tcW w:w="1801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59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第2次循环</w:t>
            </w:r>
          </w:p>
        </w:tc>
        <w:tc>
          <w:tcPr>
            <w:tcW w:w="1801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59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第3次循环</w:t>
            </w:r>
          </w:p>
        </w:tc>
        <w:tc>
          <w:tcPr>
            <w:tcW w:w="1801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59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第4次循环</w:t>
            </w:r>
          </w:p>
        </w:tc>
        <w:tc>
          <w:tcPr>
            <w:tcW w:w="1801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59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第5次循环</w:t>
            </w:r>
          </w:p>
        </w:tc>
        <w:tc>
          <w:tcPr>
            <w:tcW w:w="1801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 w:eastAsiaTheme="minorEastAsia"/>
                <w:b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eastAsia="zh-CN"/>
              </w:rPr>
              <w:t>月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eastAsia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53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坚固性</w:t>
            </w:r>
            <w:r>
              <w:rPr>
                <w:rFonts w:hint="eastAsia"/>
                <w:b/>
                <w:bCs/>
                <w:sz w:val="24"/>
                <w:szCs w:val="24"/>
              </w:rPr>
              <w:t>试验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（4.75-9.5）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mm</w:t>
            </w:r>
          </w:p>
        </w:tc>
        <w:tc>
          <w:tcPr>
            <w:tcW w:w="2869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  <w:lang w:bidi="en-US"/>
              </w:rPr>
            </w:pPr>
            <w:r>
              <w:rPr>
                <w:rFonts w:hint="eastAsia"/>
                <w:b/>
                <w:sz w:val="24"/>
                <w:szCs w:val="24"/>
                <w:lang w:bidi="en-US"/>
              </w:rPr>
              <w:t>试验前试样的</w:t>
            </w:r>
            <w:r>
              <w:rPr>
                <w:b/>
                <w:sz w:val="24"/>
                <w:szCs w:val="24"/>
                <w:lang w:bidi="en-US"/>
              </w:rPr>
              <w:t>质量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 w:bidi="en-US"/>
              </w:rPr>
              <w:t>m</w:t>
            </w:r>
            <w:r>
              <w:rPr>
                <w:rFonts w:hint="eastAsia"/>
                <w:b/>
                <w:sz w:val="24"/>
                <w:szCs w:val="24"/>
                <w:vertAlign w:val="subscript"/>
                <w:lang w:val="en-US" w:eastAsia="zh-CN" w:bidi="en-US"/>
              </w:rPr>
              <w:t>0</w:t>
            </w:r>
            <w:r>
              <w:rPr>
                <w:b/>
                <w:sz w:val="24"/>
                <w:szCs w:val="24"/>
                <w:lang w:bidi="en-US"/>
              </w:rPr>
              <w:t>（g）</w:t>
            </w:r>
          </w:p>
        </w:tc>
        <w:tc>
          <w:tcPr>
            <w:tcW w:w="2869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en-US"/>
              </w:rPr>
            </w:pPr>
            <w:r>
              <w:rPr>
                <w:rFonts w:hint="eastAsia"/>
                <w:b/>
                <w:sz w:val="24"/>
                <w:szCs w:val="24"/>
                <w:lang w:bidi="en-US"/>
              </w:rPr>
              <w:t>试验后试样的筛余</w:t>
            </w:r>
            <w:r>
              <w:rPr>
                <w:b/>
                <w:sz w:val="24"/>
                <w:szCs w:val="24"/>
                <w:lang w:bidi="en-US"/>
              </w:rPr>
              <w:t>质量</w:t>
            </w:r>
            <w:r>
              <w:rPr>
                <w:rFonts w:hint="eastAsia"/>
                <w:b/>
                <w:sz w:val="24"/>
                <w:szCs w:val="24"/>
                <w:lang w:val="en-US" w:eastAsia="zh-CN" w:bidi="en-US"/>
              </w:rPr>
              <w:t>m</w:t>
            </w:r>
            <w:r>
              <w:rPr>
                <w:rFonts w:hint="eastAsia"/>
                <w:b/>
                <w:sz w:val="24"/>
                <w:szCs w:val="24"/>
                <w:vertAlign w:val="subscript"/>
                <w:lang w:val="en-US" w:eastAsia="zh-CN" w:bidi="en-US"/>
              </w:rPr>
              <w:t>1</w:t>
            </w:r>
            <w:r>
              <w:rPr>
                <w:rFonts w:hint="eastAsia"/>
                <w:b/>
                <w:sz w:val="24"/>
                <w:szCs w:val="24"/>
                <w:lang w:bidi="en-US"/>
              </w:rPr>
              <w:t>(g)</w:t>
            </w:r>
          </w:p>
        </w:tc>
        <w:tc>
          <w:tcPr>
            <w:tcW w:w="2871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质量损失百分率P(%)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精确至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30" w:type="dxa"/>
            <w:gridSpan w:val="3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9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69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7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3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仪器</w:t>
            </w:r>
          </w:p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设备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2146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仪器设备</w:t>
            </w:r>
          </w:p>
        </w:tc>
        <w:tc>
          <w:tcPr>
            <w:tcW w:w="214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规格型号</w:t>
            </w: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内部编号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30" w:type="dxa"/>
            <w:gridSpan w:val="3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146" w:type="dxa"/>
            <w:gridSpan w:val="8"/>
            <w:vAlign w:val="center"/>
          </w:tcPr>
          <w:p>
            <w:pPr>
              <w:tabs>
                <w:tab w:val="left" w:pos="6469"/>
              </w:tabs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4" w:type="dxa"/>
            <w:gridSpan w:val="7"/>
            <w:vAlign w:val="center"/>
          </w:tcPr>
          <w:p>
            <w:pPr>
              <w:tabs>
                <w:tab w:val="left" w:pos="6469"/>
              </w:tabs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30" w:type="dxa"/>
            <w:gridSpan w:val="3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146" w:type="dxa"/>
            <w:gridSpan w:val="8"/>
            <w:vAlign w:val="center"/>
          </w:tcPr>
          <w:p>
            <w:pPr>
              <w:tabs>
                <w:tab w:val="left" w:pos="6469"/>
              </w:tabs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4" w:type="dxa"/>
            <w:gridSpan w:val="7"/>
            <w:vAlign w:val="center"/>
          </w:tcPr>
          <w:p>
            <w:pPr>
              <w:tabs>
                <w:tab w:val="left" w:pos="6469"/>
              </w:tabs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3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8609" w:type="dxa"/>
            <w:gridSpan w:val="23"/>
          </w:tcPr>
          <w:p>
            <w:pPr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Cambria Math"/>
                <w:sz w:val="24"/>
                <w:szCs w:val="24"/>
                <w:lang w:bidi="en-US"/>
              </w:rPr>
              <w:t xml:space="preserve">计算公式： </w:t>
            </w:r>
            <m:oMath>
              <m:r>
                <m:rPr>
                  <m:sty m:val="p"/>
                </m:rPr>
                <w:rPr>
                  <w:rFonts w:hint="default" w:ascii="Cambria Math" w:hAnsi="Cambria Math" w:cs="Times New Roman"/>
                  <w:spacing w:val="0"/>
                  <w:w w:val="100"/>
                  <w:kern w:val="2"/>
                  <w:position w:val="0"/>
                  <w:sz w:val="24"/>
                  <w:szCs w:val="24"/>
                  <w:lang w:val="en-US" w:eastAsia="zh-CN" w:bidi="en-US"/>
                </w:rPr>
                <m:t>P=</m:t>
              </m:r>
              <m:f>
                <m:fPr>
                  <m:ctrlPr>
                    <w:rPr>
                      <w:rFonts w:hint="default" w:ascii="Cambria Math" w:hAnsi="Cambria Math" w:cs="Times New Roman"/>
                      <w:i w:val="0"/>
                      <w:spacing w:val="0"/>
                      <w:w w:val="100"/>
                      <w:kern w:val="2"/>
                      <w:position w:val="0"/>
                      <w:sz w:val="24"/>
                      <w:szCs w:val="24"/>
                      <w:lang w:val="en-US" w:eastAsia="zh-CN" w:bidi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default" w:ascii="Cambria Math" w:hAnsi="Cambria Math" w:cs="Times New Roman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  <m:t>m</m:t>
                      </m: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default" w:ascii="Cambria Math" w:hAnsi="Cambria Math" w:cs="Times New Roman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kern w:val="2"/>
                      <w:position w:val="0"/>
                      <w:sz w:val="24"/>
                      <w:szCs w:val="24"/>
                      <w:lang w:val="en-US" w:eastAsia="zh-CN" w:bidi="en-US"/>
                    </w:rPr>
                    <m:t>−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default" w:ascii="Cambria Math" w:hAnsi="Cambria Math" w:cs="Times New Roman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  <m:t>m</m:t>
                      </m: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default" w:ascii="Cambria Math" w:hAnsi="Cambria Math" w:cs="Times New Roman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 w:val="0"/>
                      <w:spacing w:val="0"/>
                      <w:w w:val="100"/>
                      <w:kern w:val="2"/>
                      <w:position w:val="0"/>
                      <w:sz w:val="24"/>
                      <w:szCs w:val="24"/>
                      <w:lang w:val="en-US" w:eastAsia="zh-CN" w:bidi="en-US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default" w:ascii="Cambria Math" w:hAnsi="Cambria Math" w:cs="Times New Roman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  <m:t>m</m:t>
                      </m: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default" w:ascii="Cambria Math" w:hAnsi="Cambria Math" w:cs="Times New Roman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 w:val="0"/>
                          <w:spacing w:val="0"/>
                          <w:w w:val="100"/>
                          <w:kern w:val="2"/>
                          <w:position w:val="0"/>
                          <w:sz w:val="24"/>
                          <w:szCs w:val="24"/>
                          <w:lang w:val="en-US" w:eastAsia="zh-CN" w:bidi="en-US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 w:val="0"/>
                      <w:spacing w:val="0"/>
                      <w:w w:val="100"/>
                      <w:kern w:val="2"/>
                      <w:position w:val="0"/>
                      <w:sz w:val="24"/>
                      <w:szCs w:val="24"/>
                      <w:lang w:val="en-US" w:eastAsia="zh-CN" w:bidi="en-US"/>
                    </w:rPr>
                  </m:ctrlPr>
                </m:den>
              </m:f>
              <m:r>
                <m:rPr>
                  <m:sty m:val="p"/>
                </m:rPr>
                <w:rPr>
                  <w:rFonts w:hint="default" w:ascii="Cambria Math" w:hAnsi="Cambria Math" w:cs="Times New Roman"/>
                  <w:spacing w:val="0"/>
                  <w:w w:val="100"/>
                  <w:kern w:val="2"/>
                  <w:position w:val="0"/>
                  <w:sz w:val="24"/>
                  <w:szCs w:val="24"/>
                  <w:lang w:val="en-US" w:eastAsia="zh-CN" w:bidi="en-US"/>
                </w:rPr>
                <m:t>×100%</m:t>
              </m:r>
            </m:oMath>
          </w:p>
          <w:p>
            <w:pPr>
              <w:rPr>
                <w:position w:val="-24"/>
                <w:sz w:val="24"/>
                <w:szCs w:val="24"/>
                <w:lang w:bidi="zh-TW"/>
              </w:rPr>
            </w:pPr>
          </w:p>
        </w:tc>
      </w:tr>
    </w:tbl>
    <w:p>
      <w:pPr>
        <w:spacing w:beforeLines="50"/>
        <w:rPr>
          <w:sz w:val="24"/>
        </w:rPr>
      </w:pPr>
      <w:r>
        <w:rPr>
          <w:rFonts w:hint="eastAsia"/>
          <w:sz w:val="24"/>
        </w:rPr>
        <w:t xml:space="preserve">审核：    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       检测：</w:t>
      </w:r>
    </w:p>
    <w:sectPr>
      <w:headerReference r:id="rId3" w:type="default"/>
      <w:footerReference r:id="rId4" w:type="default"/>
      <w:pgSz w:w="11906" w:h="16838"/>
      <w:pgMar w:top="590" w:right="1080" w:bottom="590" w:left="1080" w:header="851" w:footer="152" w:gutter="0"/>
      <w:pgNumType w:fmt="numberInDash"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1" w:fontKey="{1AE50D6F-CFD5-4091-A50A-7DC42AFCBC6A}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89392F5B-672A-4069-B560-664CCA444D00}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  <w:embedRegular r:id="rId3" w:fontKey="{AD105C0D-4D6A-42E8-BBA4-9AA81D56F547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Lines="250"/>
      <w:jc w:val="both"/>
    </w:pPr>
    <w:r>
      <w:pict>
        <v:shape id="文本框 2050" o:spid="_x0000_s4097" o:spt="202" type="#_x0000_t202" style="position:absolute;left:0pt;margin-left:406.35pt;margin-top:-8.0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A5169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C123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70CC9"/>
    <w:rsid w:val="008B4E38"/>
    <w:rsid w:val="008C26F3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9246C"/>
    <w:rsid w:val="00AB350E"/>
    <w:rsid w:val="00B07BD9"/>
    <w:rsid w:val="00B14825"/>
    <w:rsid w:val="00B24F17"/>
    <w:rsid w:val="00B54727"/>
    <w:rsid w:val="00B63C23"/>
    <w:rsid w:val="00B710CC"/>
    <w:rsid w:val="00B93501"/>
    <w:rsid w:val="00BB7982"/>
    <w:rsid w:val="00BC32BD"/>
    <w:rsid w:val="00BD0342"/>
    <w:rsid w:val="00BD356F"/>
    <w:rsid w:val="00BD7763"/>
    <w:rsid w:val="00C01642"/>
    <w:rsid w:val="00C056F1"/>
    <w:rsid w:val="00C31FB5"/>
    <w:rsid w:val="00C3327C"/>
    <w:rsid w:val="00C43C16"/>
    <w:rsid w:val="00C74FB9"/>
    <w:rsid w:val="00C7607C"/>
    <w:rsid w:val="00C83A81"/>
    <w:rsid w:val="00C96890"/>
    <w:rsid w:val="00CC14AE"/>
    <w:rsid w:val="00D01FB6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DA2A48"/>
    <w:rsid w:val="01EC7BA2"/>
    <w:rsid w:val="02212F5B"/>
    <w:rsid w:val="02924517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724A6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E91F65"/>
    <w:rsid w:val="09FF2824"/>
    <w:rsid w:val="0A063B93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2E1DF1"/>
    <w:rsid w:val="15DA1787"/>
    <w:rsid w:val="160E750B"/>
    <w:rsid w:val="16140870"/>
    <w:rsid w:val="161A1D80"/>
    <w:rsid w:val="16885098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D41C41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BA20FA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7B472A"/>
    <w:rsid w:val="26716A73"/>
    <w:rsid w:val="270804B7"/>
    <w:rsid w:val="279E371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327DE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4F46B58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2A2D58"/>
    <w:rsid w:val="3B85523B"/>
    <w:rsid w:val="3B8E6372"/>
    <w:rsid w:val="3BA80A72"/>
    <w:rsid w:val="3BB764C3"/>
    <w:rsid w:val="3C6B08D5"/>
    <w:rsid w:val="3D204E1A"/>
    <w:rsid w:val="3D2B4EB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5C70EF9"/>
    <w:rsid w:val="460B5F83"/>
    <w:rsid w:val="4615388C"/>
    <w:rsid w:val="46160C6F"/>
    <w:rsid w:val="467230E9"/>
    <w:rsid w:val="46DA45CA"/>
    <w:rsid w:val="47133ACD"/>
    <w:rsid w:val="480E1DE2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7E420B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5021A4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6C6EDD"/>
    <w:rsid w:val="678717F7"/>
    <w:rsid w:val="67AE23D1"/>
    <w:rsid w:val="69D048D6"/>
    <w:rsid w:val="69FD32AF"/>
    <w:rsid w:val="6A3F16B0"/>
    <w:rsid w:val="6AFC69BC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8E325D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批注文字 Char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页脚 Char"/>
    <w:link w:val="4"/>
    <w:autoRedefine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5"/>
    <w:autoRedefine/>
    <w:qFormat/>
    <w:uiPriority w:val="0"/>
    <w:rPr>
      <w:kern w:val="2"/>
      <w:sz w:val="18"/>
      <w:szCs w:val="18"/>
    </w:rPr>
  </w:style>
  <w:style w:type="character" w:customStyle="1" w:styleId="15">
    <w:name w:val="批注主题 Char"/>
    <w:link w:val="6"/>
    <w:autoRedefine/>
    <w:qFormat/>
    <w:uiPriority w:val="0"/>
    <w:rPr>
      <w:b/>
      <w:bCs/>
      <w:kern w:val="2"/>
      <w:sz w:val="21"/>
      <w:szCs w:val="24"/>
    </w:rPr>
  </w:style>
  <w:style w:type="character" w:customStyle="1" w:styleId="16">
    <w:name w:val="font5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31"/>
    <w:autoRedefine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18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390</Words>
  <Characters>436</Characters>
  <Lines>7</Lines>
  <Paragraphs>2</Paragraphs>
  <TotalTime>11</TotalTime>
  <ScaleCrop>false</ScaleCrop>
  <LinksUpToDate>false</LinksUpToDate>
  <CharactersWithSpaces>1046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2018-12-05T01:15:00Z</dcterms:created>
  <dc:creator>User</dc:creator>
  <cp:lastModifiedBy>荆意惜</cp:lastModifiedBy>
  <cp:lastPrinted>2023-07-07T00:57:00Z</cp:lastPrinted>
  <dcterms:modified xsi:type="dcterms:W3CDTF">2024-05-23T01:50:22Z</dcterms:modified>
  <dc:title>江苏省土木建筑学会城市轨道交通工程建设专业委员会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5AB383DCD4E844129EED34813DABADB5_13</vt:lpwstr>
  </property>
</Properties>
</file>